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EC2FD7"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7</w:t>
      </w:r>
      <w:r w:rsidR="00F96C04" w:rsidRPr="00F96C04">
        <w:rPr>
          <w:rFonts w:ascii="Times New Roman" w:eastAsia="Times New Roman" w:hAnsi="Times New Roman" w:cs="Times New Roman"/>
          <w:b/>
          <w:color w:val="000000"/>
          <w:sz w:val="24"/>
          <w:szCs w:val="24"/>
          <w:lang w:val="lv-LV" w:eastAsia="ar-SA"/>
        </w:rPr>
        <w:t>.daļā “</w:t>
      </w:r>
      <w:r>
        <w:rPr>
          <w:rFonts w:ascii="Times New Roman" w:eastAsia="Times New Roman" w:hAnsi="Times New Roman" w:cs="Times New Roman"/>
          <w:b/>
          <w:color w:val="000000"/>
          <w:sz w:val="24"/>
          <w:szCs w:val="24"/>
          <w:lang w:val="lv-LV" w:eastAsia="ar-SA"/>
        </w:rPr>
        <w:t xml:space="preserve">Daugavpils pensionāru sociālās apkalpošanas teritoriālā centra </w:t>
      </w:r>
      <w:r w:rsidR="006C62B8">
        <w:rPr>
          <w:rFonts w:ascii="Times New Roman" w:eastAsia="Times New Roman" w:hAnsi="Times New Roman" w:cs="Times New Roman"/>
          <w:b/>
          <w:color w:val="000000"/>
          <w:sz w:val="24"/>
          <w:szCs w:val="24"/>
          <w:lang w:val="lv-LV" w:eastAsia="ar-SA"/>
        </w:rPr>
        <w:t xml:space="preserve"> </w:t>
      </w:r>
      <w:r w:rsidR="003F74B6">
        <w:rPr>
          <w:rFonts w:ascii="Times New Roman" w:eastAsia="Times New Roman" w:hAnsi="Times New Roman" w:cs="Times New Roman"/>
          <w:b/>
          <w:color w:val="000000"/>
          <w:sz w:val="24"/>
          <w:szCs w:val="24"/>
          <w:lang w:val="lv-LV" w:eastAsia="ar-SA"/>
        </w:rPr>
        <w:t>ēk</w:t>
      </w:r>
      <w:r w:rsidR="006C62B8">
        <w:rPr>
          <w:rFonts w:ascii="Times New Roman" w:eastAsia="Times New Roman" w:hAnsi="Times New Roman" w:cs="Times New Roman"/>
          <w:b/>
          <w:color w:val="000000"/>
          <w:sz w:val="24"/>
          <w:szCs w:val="24"/>
          <w:lang w:val="lv-LV" w:eastAsia="ar-SA"/>
        </w:rPr>
        <w:t>as</w:t>
      </w:r>
      <w:r w:rsidR="003F74B6">
        <w:rPr>
          <w:rFonts w:ascii="Times New Roman" w:eastAsia="Times New Roman" w:hAnsi="Times New Roman" w:cs="Times New Roman"/>
          <w:b/>
          <w:color w:val="000000"/>
          <w:sz w:val="24"/>
          <w:szCs w:val="24"/>
          <w:lang w:val="lv-LV" w:eastAsia="ar-SA"/>
        </w:rPr>
        <w:t xml:space="preserve"> </w:t>
      </w:r>
      <w:r w:rsidR="00F96C04">
        <w:rPr>
          <w:rFonts w:ascii="Times New Roman" w:eastAsia="Times New Roman" w:hAnsi="Times New Roman" w:cs="Times New Roman"/>
          <w:b/>
          <w:color w:val="000000"/>
          <w:sz w:val="24"/>
          <w:szCs w:val="24"/>
          <w:lang w:val="lv-LV" w:eastAsia="ar-SA"/>
        </w:rPr>
        <w:t>siltummezglu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EC2FD7" w:rsidP="00F96C04">
      <w:pPr>
        <w:spacing w:after="120" w:line="240" w:lineRule="auto"/>
        <w:ind w:firstLine="708"/>
        <w:jc w:val="both"/>
        <w:rPr>
          <w:rFonts w:ascii="Times New Roman" w:eastAsia="Times New Roman" w:hAnsi="Times New Roman" w:cs="Times New Roman"/>
          <w:sz w:val="24"/>
          <w:szCs w:val="24"/>
          <w:lang w:val="lv-LV"/>
        </w:rPr>
      </w:pPr>
      <w:r w:rsidRPr="00EC2FD7">
        <w:rPr>
          <w:rFonts w:ascii="Times New Roman" w:hAnsi="Times New Roman" w:cs="Times New Roman"/>
          <w:b/>
          <w:sz w:val="24"/>
          <w:szCs w:val="24"/>
          <w:lang w:val="lv-LV"/>
        </w:rPr>
        <w:t>Daugavpils pensionāru sociālās apkalpošanas teritoriālais centrs,</w:t>
      </w:r>
      <w:r w:rsidRPr="00EC2FD7">
        <w:rPr>
          <w:rFonts w:ascii="Times New Roman" w:hAnsi="Times New Roman" w:cs="Times New Roman"/>
          <w:sz w:val="24"/>
          <w:szCs w:val="24"/>
          <w:lang w:val="lv-LV"/>
        </w:rPr>
        <w:t xml:space="preserve">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001B0010" w:rsidRPr="001B0010">
        <w:rPr>
          <w:rFonts w:ascii="Times New Roman" w:hAnsi="Times New Roman" w:cs="Times New Roman"/>
          <w:sz w:val="24"/>
          <w:szCs w:val="24"/>
          <w:lang w:val="lv-LV"/>
        </w:rPr>
        <w:t xml:space="preserve"> </w:t>
      </w:r>
      <w:r w:rsidRPr="00EC2FD7">
        <w:rPr>
          <w:rFonts w:ascii="Times New Roman" w:hAnsi="Times New Roman" w:cs="Times New Roman"/>
          <w:color w:val="000000"/>
          <w:sz w:val="24"/>
          <w:szCs w:val="24"/>
          <w:lang w:val="lv-LV"/>
        </w:rPr>
        <w:t>90000065913</w:t>
      </w:r>
      <w:r w:rsidR="00F96C04" w:rsidRPr="001B0010">
        <w:rPr>
          <w:rFonts w:ascii="Times New Roman" w:eastAsia="Times New Roman" w:hAnsi="Times New Roman" w:cs="Times New Roman"/>
          <w:sz w:val="24"/>
          <w:szCs w:val="24"/>
          <w:lang w:val="lv-LV"/>
        </w:rPr>
        <w:t>,</w:t>
      </w:r>
      <w:r w:rsidR="00F96C04" w:rsidRPr="00F96C04">
        <w:rPr>
          <w:rFonts w:ascii="Times New Roman" w:eastAsia="Times New Roman" w:hAnsi="Times New Roman" w:cs="Times New Roman"/>
          <w:sz w:val="24"/>
          <w:szCs w:val="24"/>
          <w:lang w:val="lv-LV"/>
        </w:rPr>
        <w:t xml:space="preserve"> juridiskā adrese: </w:t>
      </w:r>
      <w:r w:rsidRPr="00EC2FD7">
        <w:rPr>
          <w:rFonts w:ascii="Times New Roman" w:hAnsi="Times New Roman" w:cs="Times New Roman"/>
          <w:sz w:val="24"/>
          <w:szCs w:val="24"/>
          <w:lang w:val="lv-LV"/>
        </w:rPr>
        <w:t>18.novembra iela 354a, Daugavpils, Latvija, LV-5413</w:t>
      </w:r>
      <w:r w:rsidRPr="006C62B8">
        <w:rPr>
          <w:rFonts w:ascii="Times New Roman" w:hAnsi="Times New Roman" w:cs="Times New Roman"/>
          <w:b/>
          <w:sz w:val="24"/>
          <w:szCs w:val="24"/>
          <w:lang w:val="lv-LV"/>
        </w:rPr>
        <w:t>,</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tā </w:t>
      </w:r>
      <w:r w:rsidR="005B1F3B">
        <w:rPr>
          <w:rFonts w:ascii="Times New Roman" w:eastAsia="Times New Roman" w:hAnsi="Times New Roman" w:cs="Times New Roman"/>
          <w:sz w:val="24"/>
          <w:szCs w:val="24"/>
          <w:lang w:val="lv-LV"/>
        </w:rPr>
        <w:t>vadītāja</w:t>
      </w:r>
      <w:r w:rsidR="007F31A6">
        <w:rPr>
          <w:rFonts w:ascii="Times New Roman" w:eastAsia="Times New Roman" w:hAnsi="Times New Roman" w:cs="Times New Roman"/>
          <w:sz w:val="24"/>
          <w:szCs w:val="24"/>
          <w:lang w:val="lv-LV"/>
        </w:rPr>
        <w:t xml:space="preserve"> </w:t>
      </w:r>
      <w:r w:rsidR="005B1F3B">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Valentīna </w:t>
      </w:r>
      <w:proofErr w:type="spellStart"/>
      <w:r>
        <w:rPr>
          <w:rFonts w:ascii="Times New Roman" w:eastAsia="Times New Roman" w:hAnsi="Times New Roman" w:cs="Times New Roman"/>
          <w:sz w:val="24"/>
          <w:szCs w:val="24"/>
          <w:lang w:val="lv-LV"/>
        </w:rPr>
        <w:t>Ploņa</w:t>
      </w:r>
      <w:proofErr w:type="spellEnd"/>
      <w:r>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kurš</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0B5820"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1.2.1. rezerves daļu, materiālu, iekārtu, sensoru,</w:t>
      </w:r>
      <w:r w:rsidR="00DA74CF">
        <w:rPr>
          <w:rFonts w:ascii="Times New Roman" w:eastAsia="Times New Roman" w:hAnsi="Times New Roman" w:cs="Times New Roman"/>
          <w:sz w:val="24"/>
          <w:szCs w:val="24"/>
          <w:lang w:val="lv-LV" w:eastAsia="ar-SA"/>
        </w:rPr>
        <w:t xml:space="preserve"> aparātu vai citu bloku nomaiņu </w:t>
      </w:r>
      <w:r w:rsidR="00092DD1">
        <w:rPr>
          <w:rFonts w:ascii="Times New Roman" w:eastAsia="Times New Roman" w:hAnsi="Times New Roman" w:cs="Times New Roman"/>
          <w:sz w:val="24"/>
          <w:szCs w:val="24"/>
          <w:lang w:val="lv-LV" w:eastAsia="ar-SA"/>
        </w:rPr>
        <w:t xml:space="preserve">Izpildītājs veic, </w:t>
      </w:r>
      <w:r w:rsidR="00DA74CF" w:rsidRPr="00092DD1">
        <w:rPr>
          <w:rFonts w:ascii="Times New Roman" w:eastAsia="Times New Roman" w:hAnsi="Times New Roman" w:cs="Times New Roman"/>
          <w:sz w:val="24"/>
          <w:szCs w:val="24"/>
          <w:lang w:val="lv-LV" w:eastAsia="ar-SA"/>
        </w:rPr>
        <w:t xml:space="preserve">vienlaicīgi ar darbu uzsākšanu </w:t>
      </w:r>
      <w:r w:rsidR="00092DD1" w:rsidRPr="00092DD1">
        <w:rPr>
          <w:rFonts w:ascii="Times New Roman" w:eastAsia="Times New Roman" w:hAnsi="Times New Roman" w:cs="Times New Roman"/>
          <w:sz w:val="24"/>
          <w:szCs w:val="24"/>
          <w:lang w:val="lv-LV" w:eastAsia="ar-SA"/>
        </w:rPr>
        <w:t>saskaņojot ar pasūt</w:t>
      </w:r>
      <w:r w:rsidR="000B5820">
        <w:rPr>
          <w:rFonts w:ascii="Times New Roman" w:eastAsia="Times New Roman" w:hAnsi="Times New Roman" w:cs="Times New Roman"/>
          <w:sz w:val="24"/>
          <w:szCs w:val="24"/>
          <w:lang w:val="lv-LV" w:eastAsia="ar-SA"/>
        </w:rPr>
        <w:t>ītāju defekta vai avārijas aktu.</w:t>
      </w:r>
      <w:r w:rsidR="00092DD1" w:rsidRPr="00092DD1">
        <w:rPr>
          <w:rFonts w:ascii="Times New Roman" w:eastAsia="Times New Roman" w:hAnsi="Times New Roman" w:cs="Times New Roman"/>
          <w:sz w:val="24"/>
          <w:szCs w:val="24"/>
          <w:lang w:val="lv-LV" w:eastAsia="ar-SA"/>
        </w:rPr>
        <w:t xml:space="preserve"> </w:t>
      </w:r>
      <w:r w:rsidR="000B5820" w:rsidRPr="000B5820">
        <w:rPr>
          <w:rFonts w:ascii="Times New Roman" w:hAnsi="Times New Roman" w:cs="Times New Roman"/>
          <w:sz w:val="24"/>
          <w:szCs w:val="24"/>
          <w:lang w:val="lv-LV"/>
        </w:rPr>
        <w:t>Pirms darbu uzsākšanas ar Pasūtītāju rakstiski saskaņotās izmaksu tāmes apmērā.</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F96C0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00CF7A43" w:rsidRPr="00CF7A43">
        <w:rPr>
          <w:rFonts w:ascii="Times New Roman" w:eastAsia="Times New Roman" w:hAnsi="Times New Roman" w:cs="Times New Roman"/>
          <w:i/>
          <w:color w:val="000000"/>
          <w:sz w:val="24"/>
          <w:szCs w:val="24"/>
          <w:lang w:val="lv-LV" w:eastAsia="ar-SA"/>
        </w:rPr>
        <w:t xml:space="preserve"> </w:t>
      </w:r>
      <w:r w:rsidR="00CF7A43">
        <w:rPr>
          <w:rFonts w:ascii="Times New Roman" w:eastAsia="Times New Roman" w:hAnsi="Times New Roman" w:cs="Times New Roman"/>
          <w:i/>
          <w:color w:val="000000"/>
          <w:sz w:val="24"/>
          <w:szCs w:val="24"/>
          <w:lang w:val="lv-LV" w:eastAsia="ar-SA"/>
        </w:rPr>
        <w:t xml:space="preserve">saimniecības vadītāja Irina </w:t>
      </w:r>
      <w:proofErr w:type="spellStart"/>
      <w:r w:rsidR="00CF7A43">
        <w:rPr>
          <w:rFonts w:ascii="Times New Roman" w:eastAsia="Times New Roman" w:hAnsi="Times New Roman" w:cs="Times New Roman"/>
          <w:i/>
          <w:color w:val="000000"/>
          <w:sz w:val="24"/>
          <w:szCs w:val="24"/>
          <w:lang w:val="lv-LV" w:eastAsia="ar-SA"/>
        </w:rPr>
        <w:t>Samule</w:t>
      </w:r>
      <w:proofErr w:type="spellEnd"/>
      <w:r w:rsidR="00CF7A43">
        <w:rPr>
          <w:rFonts w:ascii="Times New Roman" w:eastAsia="Times New Roman" w:hAnsi="Times New Roman" w:cs="Times New Roman"/>
          <w:i/>
          <w:color w:val="000000"/>
          <w:sz w:val="24"/>
          <w:szCs w:val="24"/>
          <w:lang w:val="lv-LV" w:eastAsia="ar-SA"/>
        </w:rPr>
        <w:t xml:space="preserve">, 20371902, </w:t>
      </w:r>
      <w:hyperlink r:id="rId7" w:history="1">
        <w:r w:rsidR="00CF7A43" w:rsidRPr="00CB47C1">
          <w:rPr>
            <w:rStyle w:val="Hyperlink"/>
            <w:rFonts w:ascii="Times New Roman" w:eastAsia="Times New Roman" w:hAnsi="Times New Roman" w:cs="Times New Roman"/>
            <w:i/>
            <w:sz w:val="24"/>
            <w:szCs w:val="24"/>
            <w:lang w:val="lv-LV" w:eastAsia="ar-SA"/>
          </w:rPr>
          <w:t>daugavpilspansionats@apollo.lv</w:t>
        </w:r>
      </w:hyperlink>
      <w:r w:rsidR="00CF7A43">
        <w:rPr>
          <w:rFonts w:ascii="Times New Roman" w:eastAsia="Times New Roman" w:hAnsi="Times New Roman" w:cs="Times New Roman"/>
          <w:i/>
          <w:color w:val="000000"/>
          <w:sz w:val="24"/>
          <w:szCs w:val="24"/>
          <w:lang w:val="lv-LV" w:eastAsia="ar-SA"/>
        </w:rPr>
        <w:t xml:space="preserve">, sagādes struktūrvienības vadītājs Juris Liepiņš, 20371901, </w:t>
      </w:r>
      <w:hyperlink r:id="rId8" w:history="1">
        <w:r w:rsidR="00CF7A43" w:rsidRPr="00CB47C1">
          <w:rPr>
            <w:rStyle w:val="Hyperlink"/>
            <w:rFonts w:ascii="Times New Roman" w:eastAsia="Times New Roman" w:hAnsi="Times New Roman" w:cs="Times New Roman"/>
            <w:i/>
            <w:sz w:val="24"/>
            <w:szCs w:val="24"/>
            <w:lang w:val="lv-LV" w:eastAsia="ar-SA"/>
          </w:rPr>
          <w:t>daugavpilspansionats@apollo.lv</w:t>
        </w:r>
      </w:hyperlink>
      <w:r w:rsidR="00A2411B" w:rsidRPr="00F96C04">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F96C04" w:rsidRDefault="00785EB3" w:rsidP="001B0010">
      <w:pPr>
        <w:suppressAutoHyphens/>
        <w:spacing w:after="0" w:line="240" w:lineRule="auto"/>
        <w:ind w:left="426" w:right="44"/>
        <w:jc w:val="both"/>
        <w:rPr>
          <w:rFonts w:ascii="Times New Roman" w:eastAsia="Times New Roman" w:hAnsi="Times New Roman" w:cs="Times New Roman"/>
          <w:i/>
          <w:sz w:val="24"/>
          <w:szCs w:val="24"/>
          <w:lang w:val="lv-LV" w:eastAsia="ar-SA"/>
        </w:rPr>
      </w:pPr>
      <w:bookmarkStart w:id="0" w:name="_GoBack"/>
      <w:r>
        <w:rPr>
          <w:rFonts w:ascii="Times New Roman" w:eastAsia="Times New Roman" w:hAnsi="Times New Roman" w:cs="Times New Roman"/>
          <w:i/>
          <w:sz w:val="24"/>
          <w:szCs w:val="24"/>
          <w:lang w:val="lv-LV" w:eastAsia="ar-SA"/>
        </w:rPr>
        <w:t xml:space="preserve">– būvdarbu vadītājs, Andrejs Bogdanovičs, 65425127, 28233667, e-pasts: nortae@inbox.lv.  </w:t>
      </w:r>
      <w:bookmarkEnd w:id="0"/>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0B5820">
        <w:rPr>
          <w:rFonts w:ascii="Times New Roman" w:eastAsia="Times New Roman" w:hAnsi="Times New Roman" w:cs="Times New Roman"/>
          <w:b/>
          <w:sz w:val="24"/>
          <w:szCs w:val="24"/>
          <w:lang w:val="lv-LV" w:eastAsia="ar-SA"/>
        </w:rPr>
        <w:t>950,40</w:t>
      </w:r>
      <w:r w:rsidR="00BD1EC2" w:rsidRPr="00BD1EC2">
        <w:rPr>
          <w:rFonts w:ascii="Times New Roman" w:eastAsia="Times New Roman" w:hAnsi="Times New Roman" w:cs="Times New Roman"/>
          <w:b/>
          <w:sz w:val="24"/>
          <w:szCs w:val="24"/>
          <w:lang w:val="lv-LV" w:eastAsia="ar-SA"/>
        </w:rPr>
        <w:t xml:space="preserve"> (</w:t>
      </w:r>
      <w:r w:rsidR="000B5820">
        <w:rPr>
          <w:rFonts w:ascii="Times New Roman" w:eastAsia="Times New Roman" w:hAnsi="Times New Roman" w:cs="Times New Roman"/>
          <w:b/>
          <w:sz w:val="24"/>
          <w:szCs w:val="24"/>
          <w:lang w:val="lv-LV" w:eastAsia="ar-SA"/>
        </w:rPr>
        <w:t xml:space="preserve">deviņi simti piecdesmit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0B5820">
        <w:rPr>
          <w:rFonts w:ascii="Times New Roman" w:eastAsia="Times New Roman" w:hAnsi="Times New Roman" w:cs="Times New Roman"/>
          <w:b/>
          <w:sz w:val="24"/>
          <w:szCs w:val="24"/>
          <w:lang w:val="lv-LV" w:eastAsia="ar-SA"/>
        </w:rPr>
        <w:t>40</w:t>
      </w:r>
      <w:r w:rsidR="00BD1EC2" w:rsidRPr="00BD1EC2">
        <w:rPr>
          <w:rFonts w:ascii="Times New Roman" w:eastAsia="Times New Roman" w:hAnsi="Times New Roman" w:cs="Times New Roman"/>
          <w:b/>
          <w:sz w:val="24"/>
          <w:szCs w:val="24"/>
          <w:lang w:val="lv-LV" w:eastAsia="ar-SA"/>
        </w:rPr>
        <w:t xml:space="preserve"> 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0B5820">
        <w:rPr>
          <w:rFonts w:ascii="Times New Roman" w:eastAsia="Times New Roman" w:hAnsi="Times New Roman" w:cs="Times New Roman"/>
          <w:sz w:val="24"/>
          <w:szCs w:val="24"/>
          <w:lang w:val="lv-LV" w:eastAsia="ar-SA"/>
        </w:rPr>
        <w:t>1 149,98</w:t>
      </w:r>
      <w:r w:rsidR="00BD1EC2">
        <w:rPr>
          <w:rFonts w:ascii="Times New Roman" w:eastAsia="Times New Roman" w:hAnsi="Times New Roman" w:cs="Times New Roman"/>
          <w:sz w:val="24"/>
          <w:szCs w:val="24"/>
          <w:lang w:val="lv-LV" w:eastAsia="ar-SA"/>
        </w:rPr>
        <w:t xml:space="preserve"> (</w:t>
      </w:r>
      <w:r w:rsidR="000B5820">
        <w:rPr>
          <w:rFonts w:ascii="Times New Roman" w:eastAsia="Times New Roman" w:hAnsi="Times New Roman" w:cs="Times New Roman"/>
          <w:sz w:val="24"/>
          <w:szCs w:val="24"/>
          <w:lang w:val="lv-LV" w:eastAsia="ar-SA"/>
        </w:rPr>
        <w:t xml:space="preserve">viens tūkstotis viens simts četrdesmit deviņi </w:t>
      </w:r>
      <w:proofErr w:type="spellStart"/>
      <w:r w:rsidR="00BD1EC2">
        <w:rPr>
          <w:rFonts w:ascii="Times New Roman" w:eastAsia="Times New Roman" w:hAnsi="Times New Roman" w:cs="Times New Roman"/>
          <w:sz w:val="24"/>
          <w:szCs w:val="24"/>
          <w:lang w:val="lv-LV" w:eastAsia="ar-SA"/>
        </w:rPr>
        <w:t>euro</w:t>
      </w:r>
      <w:proofErr w:type="spellEnd"/>
      <w:r w:rsidR="00BD1EC2">
        <w:rPr>
          <w:rFonts w:ascii="Times New Roman" w:eastAsia="Times New Roman" w:hAnsi="Times New Roman" w:cs="Times New Roman"/>
          <w:sz w:val="24"/>
          <w:szCs w:val="24"/>
          <w:lang w:val="lv-LV" w:eastAsia="ar-SA"/>
        </w:rPr>
        <w:t xml:space="preserve"> </w:t>
      </w:r>
      <w:r w:rsidR="000B5820">
        <w:rPr>
          <w:rFonts w:ascii="Times New Roman" w:eastAsia="Times New Roman" w:hAnsi="Times New Roman" w:cs="Times New Roman"/>
          <w:sz w:val="24"/>
          <w:szCs w:val="24"/>
          <w:lang w:val="lv-LV" w:eastAsia="ar-SA"/>
        </w:rPr>
        <w:t>98</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0B5820">
        <w:rPr>
          <w:rFonts w:ascii="Times New Roman" w:eastAsia="Times New Roman" w:hAnsi="Times New Roman" w:cs="Times New Roman"/>
          <w:sz w:val="24"/>
          <w:szCs w:val="24"/>
          <w:lang w:val="lv-LV" w:eastAsia="ar-SA"/>
        </w:rPr>
        <w:t>79,20</w:t>
      </w:r>
      <w:r w:rsidR="00667374">
        <w:rPr>
          <w:rFonts w:ascii="Times New Roman" w:eastAsia="Times New Roman" w:hAnsi="Times New Roman" w:cs="Times New Roman"/>
          <w:sz w:val="24"/>
          <w:szCs w:val="24"/>
          <w:lang w:val="lv-LV" w:eastAsia="ar-SA"/>
        </w:rPr>
        <w:t xml:space="preserve"> (</w:t>
      </w:r>
      <w:r w:rsidR="000B5820">
        <w:rPr>
          <w:rFonts w:ascii="Times New Roman" w:eastAsia="Times New Roman" w:hAnsi="Times New Roman" w:cs="Times New Roman"/>
          <w:sz w:val="24"/>
          <w:szCs w:val="24"/>
          <w:lang w:val="lv-LV" w:eastAsia="ar-SA"/>
        </w:rPr>
        <w:t>septiņdesmit deviņi</w:t>
      </w:r>
      <w:r w:rsidR="00370A71">
        <w:rPr>
          <w:rFonts w:ascii="Times New Roman" w:eastAsia="Times New Roman" w:hAnsi="Times New Roman" w:cs="Times New Roman"/>
          <w:sz w:val="24"/>
          <w:szCs w:val="24"/>
          <w:lang w:val="lv-LV" w:eastAsia="ar-SA"/>
        </w:rPr>
        <w:t xml:space="preserve">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0B5820">
        <w:rPr>
          <w:rFonts w:ascii="Times New Roman" w:eastAsia="Times New Roman" w:hAnsi="Times New Roman" w:cs="Times New Roman"/>
          <w:sz w:val="24"/>
          <w:szCs w:val="24"/>
          <w:lang w:val="lv-LV" w:eastAsia="ar-SA"/>
        </w:rPr>
        <w:t>20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Darbus, kas nav ietverti līguma pielikumā Nr.1, kā arī veiktās piegādes un darbu izpildes rēķinus atbilstoši šā līguma 1.2.punktam Pasūtītājs apmaksā atsevišķi, atbilstoši iesniegtajiem rēķiniem.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Rēķini var tikt sagatavoti elektroniski un nosūtīti Pasūtītājam uz norādīto elektroniskā pasta adr</w:t>
      </w:r>
      <w:r w:rsidRPr="00370A71">
        <w:rPr>
          <w:rFonts w:ascii="Times New Roman" w:eastAsia="Times New Roman" w:hAnsi="Times New Roman" w:cs="Times New Roman"/>
          <w:sz w:val="24"/>
          <w:szCs w:val="24"/>
          <w:lang w:val="lv-LV" w:eastAsia="ar-SA"/>
        </w:rPr>
        <w:t>esi</w:t>
      </w:r>
      <w:r w:rsidR="00370A71" w:rsidRPr="00116814">
        <w:rPr>
          <w:rFonts w:ascii="Times New Roman" w:eastAsia="Times New Roman" w:hAnsi="Times New Roman" w:cs="Times New Roman"/>
          <w:sz w:val="24"/>
          <w:szCs w:val="24"/>
          <w:lang w:val="lv-LV" w:eastAsia="ar-SA"/>
        </w:rPr>
        <w:t xml:space="preserve">: </w:t>
      </w:r>
      <w:r w:rsidR="00785EB3">
        <w:fldChar w:fldCharType="begin"/>
      </w:r>
      <w:r w:rsidR="00785EB3" w:rsidRPr="00785EB3">
        <w:rPr>
          <w:lang w:val="lv-LV"/>
        </w:rPr>
        <w:instrText xml:space="preserve"> HYPERLINK "mailto:daugavpilspansionats@apollo.lv" </w:instrText>
      </w:r>
      <w:r w:rsidR="00785EB3">
        <w:fldChar w:fldCharType="separate"/>
      </w:r>
      <w:r w:rsidR="00097B87" w:rsidRPr="00097B87">
        <w:rPr>
          <w:rStyle w:val="Hyperlink"/>
          <w:rFonts w:ascii="Times New Roman" w:hAnsi="Times New Roman" w:cs="Times New Roman"/>
          <w:spacing w:val="-6"/>
          <w:sz w:val="24"/>
          <w:szCs w:val="24"/>
          <w:lang w:val="lv-LV"/>
        </w:rPr>
        <w:t>daugavpilspansionats@apollo.lv</w:t>
      </w:r>
      <w:r w:rsidR="00785EB3">
        <w:rPr>
          <w:rStyle w:val="Hyperlink"/>
          <w:rFonts w:ascii="Times New Roman" w:hAnsi="Times New Roman" w:cs="Times New Roman"/>
          <w:spacing w:val="-6"/>
          <w:sz w:val="24"/>
          <w:szCs w:val="24"/>
          <w:lang w:val="lv-LV"/>
        </w:rPr>
        <w:fldChar w:fldCharType="end"/>
      </w:r>
    </w:p>
    <w:p w:rsidR="00F96C04" w:rsidRPr="00F96C04" w:rsidRDefault="00F96C04" w:rsidP="00F96C04">
      <w:pPr>
        <w:spacing w:after="0" w:line="240" w:lineRule="auto"/>
        <w:ind w:left="426"/>
        <w:jc w:val="both"/>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F96C04" w:rsidRPr="00F96C04" w:rsidTr="00097B87">
        <w:trPr>
          <w:trHeight w:val="1468"/>
        </w:trPr>
        <w:tc>
          <w:tcPr>
            <w:tcW w:w="4840" w:type="dxa"/>
          </w:tcPr>
          <w:p w:rsidR="00F96C04" w:rsidRPr="00097B87" w:rsidRDefault="00F96C04" w:rsidP="00F96C04">
            <w:pPr>
              <w:suppressAutoHyphens/>
              <w:rPr>
                <w:rFonts w:ascii="Times New Roman" w:eastAsia="Times New Roman" w:hAnsi="Times New Roman" w:cs="Times New Roman"/>
                <w:b/>
                <w:sz w:val="24"/>
                <w:szCs w:val="24"/>
                <w:lang w:val="lv-LV" w:eastAsia="ar-SA"/>
              </w:rPr>
            </w:pPr>
            <w:r w:rsidRPr="00097B87">
              <w:rPr>
                <w:rFonts w:ascii="Times New Roman" w:eastAsia="Times New Roman" w:hAnsi="Times New Roman" w:cs="Times New Roman"/>
                <w:b/>
                <w:sz w:val="24"/>
                <w:szCs w:val="24"/>
                <w:lang w:val="lv-LV" w:eastAsia="ar-SA"/>
              </w:rPr>
              <w:t>Pasūtītājs:</w:t>
            </w:r>
          </w:p>
          <w:p w:rsidR="00097B87" w:rsidRPr="00097B87" w:rsidRDefault="00097B87" w:rsidP="009D2004">
            <w:pPr>
              <w:rPr>
                <w:rFonts w:ascii="Times New Roman" w:hAnsi="Times New Roman" w:cs="Times New Roman"/>
                <w:b/>
                <w:sz w:val="24"/>
                <w:szCs w:val="24"/>
                <w:lang w:val="lv-LV"/>
              </w:rPr>
            </w:pPr>
            <w:r w:rsidRPr="00097B87">
              <w:rPr>
                <w:rFonts w:ascii="Times New Roman" w:hAnsi="Times New Roman" w:cs="Times New Roman"/>
                <w:b/>
                <w:sz w:val="24"/>
                <w:szCs w:val="24"/>
                <w:lang w:val="lv-LV"/>
              </w:rPr>
              <w:t>Daugavpils pensionāru sociālās apkalpošanas teritoriālais centrs</w:t>
            </w:r>
          </w:p>
          <w:p w:rsidR="00097B87" w:rsidRPr="00097B87" w:rsidRDefault="00097B87" w:rsidP="009D2004">
            <w:pPr>
              <w:rPr>
                <w:rFonts w:ascii="Times New Roman" w:hAnsi="Times New Roman" w:cs="Times New Roman"/>
                <w:color w:val="000000"/>
                <w:sz w:val="24"/>
                <w:szCs w:val="24"/>
                <w:lang w:val="lv-LV"/>
              </w:rPr>
            </w:pPr>
            <w:r w:rsidRPr="00097B87">
              <w:rPr>
                <w:rFonts w:ascii="Times New Roman" w:hAnsi="Times New Roman" w:cs="Times New Roman"/>
                <w:sz w:val="24"/>
                <w:szCs w:val="24"/>
                <w:lang w:val="lv-LV"/>
              </w:rPr>
              <w:t>Reģ.Nr.</w:t>
            </w:r>
            <w:r w:rsidRPr="00097B87">
              <w:rPr>
                <w:rFonts w:ascii="Times New Roman" w:hAnsi="Times New Roman" w:cs="Times New Roman"/>
                <w:color w:val="000000"/>
                <w:sz w:val="24"/>
                <w:szCs w:val="24"/>
                <w:lang w:val="lv-LV"/>
              </w:rPr>
              <w:t>90000065913</w:t>
            </w:r>
          </w:p>
          <w:p w:rsidR="009D2004" w:rsidRPr="00097B87" w:rsidRDefault="00097B87" w:rsidP="009D2004">
            <w:pPr>
              <w:rPr>
                <w:rFonts w:ascii="Times New Roman" w:hAnsi="Times New Roman" w:cs="Times New Roman"/>
                <w:sz w:val="24"/>
                <w:szCs w:val="24"/>
                <w:lang w:val="lv-LV" w:eastAsia="ru-RU"/>
              </w:rPr>
            </w:pPr>
            <w:r w:rsidRPr="00097B87">
              <w:rPr>
                <w:rFonts w:ascii="Times New Roman" w:hAnsi="Times New Roman" w:cs="Times New Roman"/>
                <w:color w:val="000000"/>
                <w:sz w:val="24"/>
                <w:szCs w:val="24"/>
                <w:lang w:val="lv-LV"/>
              </w:rPr>
              <w:t xml:space="preserve">Juridiskā adrese: </w:t>
            </w:r>
            <w:r w:rsidRPr="00097B87">
              <w:rPr>
                <w:rFonts w:ascii="Times New Roman" w:hAnsi="Times New Roman" w:cs="Times New Roman"/>
                <w:sz w:val="24"/>
                <w:szCs w:val="24"/>
                <w:lang w:val="lv-LV"/>
              </w:rPr>
              <w:t>18.novembra iela 354a, Daugavpils, Latvija, LV-5413</w:t>
            </w:r>
          </w:p>
          <w:p w:rsidR="00116814" w:rsidRDefault="00116814" w:rsidP="007F31A6">
            <w:pPr>
              <w:pStyle w:val="Heading1"/>
              <w:jc w:val="left"/>
              <w:outlineLvl w:val="0"/>
              <w:rPr>
                <w:rFonts w:ascii="Times New Roman" w:hAnsi="Times New Roman"/>
                <w:b w:val="0"/>
                <w:sz w:val="24"/>
                <w:szCs w:val="24"/>
                <w:lang w:val="lv-LV"/>
              </w:rPr>
            </w:pPr>
          </w:p>
          <w:p w:rsidR="00116814" w:rsidRDefault="00116814" w:rsidP="007F31A6">
            <w:pPr>
              <w:pStyle w:val="Heading1"/>
              <w:jc w:val="left"/>
              <w:outlineLvl w:val="0"/>
              <w:rPr>
                <w:rFonts w:ascii="Times New Roman" w:hAnsi="Times New Roman"/>
                <w:b w:val="0"/>
                <w:sz w:val="24"/>
                <w:szCs w:val="24"/>
                <w:lang w:val="lv-LV"/>
              </w:rPr>
            </w:pPr>
          </w:p>
          <w:p w:rsidR="009D2004" w:rsidRPr="00370A71" w:rsidRDefault="00097B87"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Vadītājs</w:t>
            </w:r>
            <w:r w:rsidR="009D2004" w:rsidRPr="00370A71">
              <w:rPr>
                <w:rFonts w:ascii="Times New Roman" w:hAnsi="Times New Roman"/>
                <w:b w:val="0"/>
                <w:sz w:val="24"/>
                <w:szCs w:val="24"/>
                <w:lang w:val="lv-LV"/>
              </w:rPr>
              <w:t>:</w:t>
            </w:r>
          </w:p>
          <w:p w:rsidR="009D2004" w:rsidRPr="00370A71"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370A71">
              <w:rPr>
                <w:rFonts w:ascii="Times New Roman" w:hAnsi="Times New Roman"/>
                <w:b w:val="0"/>
                <w:sz w:val="24"/>
                <w:szCs w:val="24"/>
                <w:lang w:val="lv-LV"/>
              </w:rPr>
              <w:t xml:space="preserve">_____________  </w:t>
            </w:r>
            <w:r w:rsidR="00370A71">
              <w:rPr>
                <w:rFonts w:ascii="Times New Roman" w:hAnsi="Times New Roman"/>
                <w:b w:val="0"/>
                <w:sz w:val="24"/>
                <w:szCs w:val="24"/>
                <w:lang w:val="lv-LV"/>
              </w:rPr>
              <w:t>/</w:t>
            </w:r>
            <w:r w:rsidR="00097B87">
              <w:rPr>
                <w:rFonts w:ascii="Times New Roman" w:hAnsi="Times New Roman"/>
                <w:b w:val="0"/>
                <w:sz w:val="24"/>
                <w:szCs w:val="24"/>
                <w:lang w:val="lv-LV"/>
              </w:rPr>
              <w:t xml:space="preserve">Valentīns </w:t>
            </w:r>
            <w:proofErr w:type="spellStart"/>
            <w:r w:rsidR="00097B87">
              <w:rPr>
                <w:rFonts w:ascii="Times New Roman" w:hAnsi="Times New Roman"/>
                <w:b w:val="0"/>
                <w:sz w:val="24"/>
                <w:szCs w:val="24"/>
                <w:lang w:val="lv-LV"/>
              </w:rPr>
              <w:t>Plonis</w:t>
            </w:r>
            <w:proofErr w:type="spellEnd"/>
            <w:r w:rsidR="00370A71">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785EB3">
      <w:pPr>
        <w:rPr>
          <w:lang w:val="lv-LV"/>
        </w:rPr>
      </w:pPr>
    </w:p>
    <w:sectPr w:rsidR="00217FD1" w:rsidRPr="00C921F7" w:rsidSect="00A6047A">
      <w:footerReference w:type="even" r:id="rId9"/>
      <w:footerReference w:type="default" r:id="rId10"/>
      <w:footerReference w:type="firs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785E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785EB3">
          <w:rPr>
            <w:noProof/>
          </w:rPr>
          <w:t>5</w:t>
        </w:r>
        <w:r>
          <w:rPr>
            <w:noProof/>
          </w:rPr>
          <w:fldChar w:fldCharType="end"/>
        </w:r>
      </w:p>
    </w:sdtContent>
  </w:sdt>
  <w:p w:rsidR="008C20B9" w:rsidRDefault="00785EB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785EB3">
          <w:rPr>
            <w:noProof/>
          </w:rPr>
          <w:t>1</w:t>
        </w:r>
        <w:r>
          <w:rPr>
            <w:noProof/>
          </w:rPr>
          <w:fldChar w:fldCharType="end"/>
        </w:r>
      </w:p>
    </w:sdtContent>
  </w:sdt>
  <w:p w:rsidR="008C20B9" w:rsidRDefault="00785E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097B87"/>
    <w:rsid w:val="000B5820"/>
    <w:rsid w:val="00116814"/>
    <w:rsid w:val="00195F1C"/>
    <w:rsid w:val="001B0010"/>
    <w:rsid w:val="002A632C"/>
    <w:rsid w:val="00370A71"/>
    <w:rsid w:val="003F74B6"/>
    <w:rsid w:val="005B1F3B"/>
    <w:rsid w:val="00667374"/>
    <w:rsid w:val="006C62B8"/>
    <w:rsid w:val="00785EB3"/>
    <w:rsid w:val="007F31A6"/>
    <w:rsid w:val="00854985"/>
    <w:rsid w:val="0087672F"/>
    <w:rsid w:val="008D15BD"/>
    <w:rsid w:val="009D2004"/>
    <w:rsid w:val="00A12BE3"/>
    <w:rsid w:val="00A2411B"/>
    <w:rsid w:val="00B663B9"/>
    <w:rsid w:val="00BD1EC2"/>
    <w:rsid w:val="00C56A3A"/>
    <w:rsid w:val="00C921F7"/>
    <w:rsid w:val="00CF7A43"/>
    <w:rsid w:val="00D126EC"/>
    <w:rsid w:val="00D402E1"/>
    <w:rsid w:val="00DA74CF"/>
    <w:rsid w:val="00EC2FD7"/>
    <w:rsid w:val="00F96C04"/>
    <w:rsid w:val="00FC3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ugavpilspansionats@apollo.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ugavpilspansionats@apollo.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5</Pages>
  <Words>2144</Words>
  <Characters>12225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14</cp:revision>
  <dcterms:created xsi:type="dcterms:W3CDTF">2017-01-05T09:08:00Z</dcterms:created>
  <dcterms:modified xsi:type="dcterms:W3CDTF">2017-01-10T12:14:00Z</dcterms:modified>
</cp:coreProperties>
</file>